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417</w:t>
      </w:r>
    </w:p>
    <w:p>
      <w:r>
        <w:t>Bundesgericht (BGE), 2002-05-17, DE</w:t>
      </w:r>
    </w:p>
    <w:p>
      <w:r>
        <w:rPr>
          <w:b/>
        </w:rPr>
        <w:t xml:space="preserve">Quelle: </w:t>
      </w:r>
      <w:r>
        <w:t>https://mcp.opencaselaw.ch/entscheid/bge_129 III 417</w:t>
      </w:r>
    </w:p>
    <w:p>
      <w:r>
        <w:t>FR: ATF 129 III 417</w:t>
      </w:r>
    </w:p>
    <w:p>
      <w:r>
        <w:t>IT: DTF 129 III 417</w:t>
      </w:r>
    </w:p>
    <w:p>
      <w:pPr>
        <w:pStyle w:val="Heading2"/>
      </w:pPr>
      <w:r>
        <w:t>Regeste</w:t>
      </w:r>
    </w:p>
    <w:p>
      <w:r>
        <w:t>Regeste Art. 9 BV, Art. 176 Abs. 1 Ziff. 1 ZGB; Eheschutz, Unterhaltsbeitrag des Ehegatten; Willkür durch Verletzung des Verbotes der reformatio in peius; Frist zur Wiederaufnahme einer Erwerbstätigkeit nach der Geburt des ausserehelichen Kindes. Der einem Ehegatten für einen bestimmten Zeitraum zugesprochene Unterhaltsbeitrag darf im Rechtsmittelverfahren nicht zu Lasten des andern Ehegatten, der ihn allein angefochten hat, abgeändert werden (E. 2.1). Es ist nicht willkürlich, der Ehefrau nach der Geburt ihres ausserehelichen Kindes eine angemessene Frist zur Wiederaufnahme der Erwerbstätigkeit einzuräumen (E. 2.2).</w:t>
      </w:r>
    </w:p>
    <w:p>
      <w:pPr>
        <w:pStyle w:val="Heading2"/>
      </w:pPr>
      <w:r>
        <w:t>Erwägungen</w:t>
      </w:r>
    </w:p>
    <w:p>
      <w:r>
        <w:rPr>
          <w:b/>
        </w:rPr>
        <w:t>E. 2.1</w:t>
      </w:r>
    </w:p>
    <w:p>
      <w:r>
        <w:t>Unter dem Gesichtspunkt der Willkür rügt der Beschwerdeführer eine Verletzung des Verbotes der reformatio in peius. Der erstinstanzliche Richter habe den persönlichen Unterhaltsbeitrag für die Beschwerdegegnerin ab Mai 2002 auf Fr. 1'660.- festgesetzt. Im angefochtenen Urteil sei dieser Beitrag auf Fr. 1'806.- erhöht worden, obwohl die Beschwerdegegnerin in der Anschlussbeschwerde die Bestätigung der erstinstanzlich festgelegten Unterhaltsbeiträge beantragt habe. Dabei betrachte das Obergericht die Mutter und Kind zugesprochenen Unterhaltsbeiträge wie schon die erste Instanz als Einheit.</w:t>
      </w:r>
    </w:p>
    <w:p>
      <w:r>
        <w:rPr>
          <w:b/>
        </w:rPr>
        <w:t>E. 2.1.1</w:t>
      </w:r>
    </w:p>
    <w:p>
      <w:r>
        <w:t>Beim Verbot der reformatio in peius handelt es sich um einen klaren und unumstrittenen Rechtsgrundsatz, dessen Missachtung gegen das Willkürverbot ( Art. 4 aBV ; nunmehr Art. 9 BV ) verstösst ( BGE 110 II 113 E. 3c). Das Verschlechterungsverbot besagt namentlich, dass die Beschwerdeinstanz das angefochtene Urteil nicht zu Ungunsten der beschwerdeführenden Partei abändern darf, es sei denn, die Gegenpartei habe ihrerseits Anschlussbeschwerde ergriffen (vgl. BGE 110 II 113 E. 3a). Gründeten die Mutter und Kind zugesprochenen Geldleistungen auf einem einheitlichen Unterhaltsanspruch, stellte sich die Frage des Verschlechterungsverbots BGE 129 III 417 S. 420 nicht, unterliegt doch der Kinderunterhalt der Offizialmaxime und kommt das Verschlechterungsverbot diesfalls nicht zum Tragen (vgl. BGE 119 II 201 E. 1; BGE 122 III 404 E. 3d). Nun verfügen aber Ehegatte und Kinder über selbstständige Ansprüche mit je eigenem rechtlichem Schicksal: Auch das unmündige Kind ist kraft eigenen Rechts unterhaltsberechtigt ( Art. 289 Abs. 1 ZGB ). Das gilt namentlich auch im Eheschutzverfahren, wenn die Leistung an den Vertreter erfolgt und dem Kind keine Parteistellung zukommt (vgl. BGE 129 III 55 E. 3). Im Übrigen unterscheidet die Regelung über das Getrenntleben der Ehegatten ( Art. 176 ZGB ) ausdrücklich zwischen dem andern Ehegatten ( Art. 176 Abs. 1 Ziff. 1 ZGB ) und den Kindern (Art. 176 Abs. 3 i.V.m. Art. 276 Abs. 2 ZGB ) geschuldeten Geldleistungen. Da der Unterhaltsanspruch des Ehegatten nicht von der Offizialmaxime beherrscht wird ( BGE 128 III 411 E. 3.2.2 S. 414), unterliegt er dem Verschlechterungsverbot.</w:t>
      </w:r>
    </w:p>
    <w:p>
      <w:r>
        <w:rPr>
          <w:b/>
        </w:rPr>
        <w:t>E. 2.1.2</w:t>
      </w:r>
    </w:p>
    <w:p>
      <w:r>
        <w:t>Daran vermag auch das Zusammentreffen von Kinder- und Ehegattenrente nichts zu ändern. Sind Unterhaltsansprüche bei wirtschaftlich engen Verhältnissen von vornherein durch die beschränkte Leistungsfähigkeit der Parteien begrenzt, kann zwar die Höhe der Ehegattenrente nicht losgelöst von jener der Kinderrente bestimmt werden. Auf eine Interdependenz der Renten wurde - wenn auch in anderem Zusammenhang - in BGE 128 III 411 E. 3.2.2 S. 414 hingewiesen. Doch rechtfertigt dies keine Abweichung vom Grundsatz, dass der Unterhaltsanspruch des Ehegatten der Dispositionsmaxime unterliegt, zumal einen Ehegatten nichts daran hindern kann, vom andern nebst dem Kinderunterhalt den für sich als angemessen erachteten persönlichen Unterhalt zu fordern. Die von der ersten Instanz zugesprochenen Unterhaltsbeiträge sind nur vom Beschwerdeführer angefochten worden. Das Obergericht hat demnach das Verbot der reformatio in peius und damit Art. 9 BV verletzt, indem es der Beschwerdegegnerin für die Zeit von Mai 2002 bis Februar 2003 einen höheren Unterhaltsbeitrag als die erste Instanz zugesprochen hat. Insoweit erweist sich die staatsrechtliche Beschwerde als begründet.</w:t>
      </w:r>
    </w:p>
    <w:p>
      <w:r>
        <w:rPr>
          <w:b/>
        </w:rPr>
        <w:t>E. 2.2</w:t>
      </w:r>
    </w:p>
    <w:p>
      <w:r>
        <w:t>In zweiter Linie rügt der Beschwerdeführer, das Obergericht habe in willkürlicher Weise der Beschwerdegegnerin eine mehrmonatige Übergangsfrist für die Wiederaufnahme ihrer Erwerbstätigkeit nach der Geburt des Kindes zugebilligt, womit er im Ergebnis während dieser Übergangsfrist für ein nicht von ihm stammendes Kind zu 100% unterhaltspflichtig werde. Hier gerate das Obergericht mit seinen eigenen Erwägungen in Widerspruch. Im BGE 129 III 417 S. 421 angefochtenen Entscheid habe es festgehalten, dass die fehlende Erwerbstätigkeit der Mutter wegen der Geburt eines ausserehelichen Kindes nicht zu Lasten des Ehemannes berücksichtigt werden dürfe. Hätte das Obergericht diesen Grundsatz konsequent befolgt, so hätte es der Beschwerdegegnerin schon ab Mai 2002 ein Einkommen in Höhe von 50% ihres vor der Geburt erzielten Verdienstes anrechnen müssen, zumal die Betreuung des Kindes durch dessen biologischen Vater oder eine Drittperson leicht zu organisieren gewesen wäre. Der Beschwerdegegnerin wäre allenfalls eine Übergangszeit von wenigen Wochen, nicht aber eine übertriebene Schonzeit von rund 10 Monaten einzuräumen gewesen. Das Obergericht hat in diesem Zusammenhang ausgeführt, dass bei einer Ehefrau, die ein Kind von einem andern Mann empfangen hat, die dadurch verminderte Leistungsfähigkeit im Verhältnis zwischen den Ehegatten grundsätzlich nicht zu berücksichtigen sei; vielmehr habe der untreue Ehegatte die zusätzliche Belastung selber auszugleichen oder hinzunehmen. Allerdings sei es gerechtfertigt, vorliegend der Ehefrau für die Wiederaufnahme der Erwerbstätigkeit eine angemessene Übergangsfrist einzuräumen. Es hat sich dabei namentlich auf BGE 114 II 17 berufen. Mit einer rund 4-monatigen Frist ab Zustellung des obergerichtlichen Urteils werde der Ehefrau bis Ende Februar 2003 Zeit gegeben, sich auf die veränderten Verhältnisse einzustellen. Dem Unterhaltspflichtigen ist eine angemessene Frist zur Umstellung einzuräumen, wenn die Pflicht zur Aufnahme oder Ausweitung der Erwerbstätigkeit grundsätzlich bejaht wird; er muss hinreichend Zeit dafür haben, die rechtlichen Vorgaben in die Wirklichkeit umzusetzen ( BGE 114 II 13 E. 5 S. 17). Diese Überlegung gilt auch für Fälle wie den vorliegenden, wo es um die Wiederaufnahme der Erwerbstätigkeit durch die Ehefrau nach der Geburt eines nicht vom Ehemann stammenden Kindes geht. Die Einräumung einer Übergangsfrist stellt keinen Widerspruch zum Grundsatz dar, dass der Ehegatte dem untreuen Ehepartner nicht direkt in der Erfüllung seiner elterlichen Unterhaltspflicht beistehen muss. Denn bei der eigentlichen Unterhaltspflicht geht es um eine sich regelmässig über Jahre oder gar Jahrzehnte erstreckende Verpflichtung, wogegen eine Übergangsfrist naturgemäss eine vergleichsweise kurze Zeitspanne umfasst. Abgesehen davon besteht für den Stiefelternteil eine indirekte Beistandspflicht gegenüber dem untreuen Ehegatten ( Art. 159 Abs. 3 ZGB ; BGE 127 III 68 E. 3 S. 72). Im Lichte dieser Rechtsprechung erscheint die obergerichtliche Lösung nicht willkürlich. BGE 129 III 417 S. 422 Die Übergangsfrist für die Wiederaufnahme der Erwerbstätigkeit soll denn auch den Aufbau der Beziehungen zwischen Mutter und Kind erleichtern und die körperliche sowie seelische Gesundheit der Mutter schützen. Die Übergangsfrist muss ihrem Zweck und den Umständen angemessen sein ( BGE 114 II 13 E. 5 S. 17). Das obergerichtliche Urteil ist den Parteien am 4. November 2002 zugestellt worden. Die Beschwerdegegnerin hätte also frühestens auf Anfang Dezember 2002 eine Arbeitsstelle antreten können, falls sie innert so kurzer Zeit überhaupt eine solche gefunden hätte. Angesichts dessen durfte das Obergericht ohne Willkür die Übergangsfrist von der Zustellung seines Urteils an berechnen. Die Frist selbst hat es auf 4 Monate festgelegt, womit es das ihm in dieser Sache naturgemäss zustehende Ermessen weder überschritten noch missbraucht hat ( BGE 109 Ia 107 E. 2). Der Willkürvorwurf erweist sich insoweit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